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48B1" w:rsidRPr="0052536D" w:rsidRDefault="00B448B1" w:rsidP="005F5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C11589E" w14:textId="1CF29C37" w:rsidR="00413E4B" w:rsidRPr="0052536D" w:rsidRDefault="00413E4B" w:rsidP="005F5CA9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2536D">
        <w:rPr>
          <w:rFonts w:ascii="Open Sans" w:eastAsia="Times New Roman" w:hAnsi="Open Sans" w:cs="Open Sans"/>
          <w:color w:val="000000"/>
          <w:sz w:val="20"/>
          <w:szCs w:val="20"/>
        </w:rPr>
        <w:t xml:space="preserve">Informacja prasowa </w:t>
      </w:r>
    </w:p>
    <w:p w14:paraId="743ABD72" w14:textId="602A4961" w:rsidR="00413E4B" w:rsidRPr="0052536D" w:rsidRDefault="00413E4B" w:rsidP="00FF066D">
      <w:pPr>
        <w:spacing w:line="276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2536D">
        <w:rPr>
          <w:rFonts w:ascii="Open Sans" w:eastAsia="Times New Roman" w:hAnsi="Open Sans" w:cs="Open Sans"/>
          <w:color w:val="000000"/>
          <w:sz w:val="20"/>
          <w:szCs w:val="20"/>
        </w:rPr>
        <w:t xml:space="preserve">Białystok, </w:t>
      </w:r>
      <w:r w:rsidR="0052536D" w:rsidRPr="0052536D">
        <w:rPr>
          <w:rFonts w:ascii="Open Sans" w:eastAsia="Times New Roman" w:hAnsi="Open Sans" w:cs="Open Sans"/>
          <w:color w:val="000000"/>
          <w:sz w:val="20"/>
          <w:szCs w:val="20"/>
        </w:rPr>
        <w:t>1</w:t>
      </w:r>
      <w:r w:rsidR="0052536D">
        <w:rPr>
          <w:rFonts w:ascii="Open Sans" w:eastAsia="Times New Roman" w:hAnsi="Open Sans" w:cs="Open Sans"/>
          <w:color w:val="000000"/>
          <w:sz w:val="20"/>
          <w:szCs w:val="20"/>
        </w:rPr>
        <w:t>6</w:t>
      </w:r>
      <w:r w:rsidRPr="0052536D">
        <w:rPr>
          <w:rFonts w:ascii="Open Sans" w:eastAsia="Times New Roman" w:hAnsi="Open Sans" w:cs="Open Sans"/>
          <w:color w:val="000000"/>
          <w:sz w:val="20"/>
          <w:szCs w:val="20"/>
        </w:rPr>
        <w:t>.1</w:t>
      </w:r>
      <w:r w:rsidR="00F670DB" w:rsidRPr="0052536D">
        <w:rPr>
          <w:rFonts w:ascii="Open Sans" w:eastAsia="Times New Roman" w:hAnsi="Open Sans" w:cs="Open Sans"/>
          <w:color w:val="000000"/>
          <w:sz w:val="20"/>
          <w:szCs w:val="20"/>
        </w:rPr>
        <w:t>1</w:t>
      </w:r>
      <w:r w:rsidRPr="0052536D">
        <w:rPr>
          <w:rFonts w:ascii="Open Sans" w:eastAsia="Times New Roman" w:hAnsi="Open Sans" w:cs="Open Sans"/>
          <w:color w:val="000000"/>
          <w:sz w:val="20"/>
          <w:szCs w:val="20"/>
        </w:rPr>
        <w:t>.2023 r.</w:t>
      </w:r>
    </w:p>
    <w:p w14:paraId="01C660C2" w14:textId="77777777" w:rsidR="00413E4B" w:rsidRPr="0052536D" w:rsidRDefault="00413E4B" w:rsidP="005F5CA9">
      <w:pPr>
        <w:spacing w:line="276" w:lineRule="auto"/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</w:pPr>
    </w:p>
    <w:p w14:paraId="63A13050" w14:textId="77777777" w:rsidR="0052536D" w:rsidRPr="00447712" w:rsidRDefault="0052536D" w:rsidP="0052536D">
      <w:pPr>
        <w:spacing w:line="276" w:lineRule="auto"/>
        <w:jc w:val="center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 Rola badań genetycznych w chorobach nowotworowych</w:t>
      </w:r>
    </w:p>
    <w:p w14:paraId="39C757E9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2F84603C" w14:textId="02DFB278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</w:rPr>
        <w:t>Nowotwory mogą mieć wiele przyczyn, ale szczególnie istotną rolę w ich rozwoju odgrywają dziedziczne warianty genetyczne. Szacuje się, że nawet 10% nowotworów spowodowanych jest wrodzonymi predyspozycjami rodzinnymi</w:t>
      </w:r>
      <w:r w:rsidRPr="0052536D">
        <w:rPr>
          <w:rStyle w:val="Odwoanieprzypisudolnego"/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</w:rPr>
        <w:footnoteReference w:id="1"/>
      </w:r>
      <w:r w:rsidRPr="00447712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</w:rPr>
        <w:t>. Badania DNA mogą pomóc w identyfikacji ryzyka zachorowania na nowotwór zanim dojdzie do jego rozwoju lub we wczesnym stadium przed wystąpieniem niepokojących objawów. To znacząco zwiększa szanse na podjęcie efektywnych działań profilaktycznych</w:t>
      </w:r>
      <w:r w:rsidRPr="0052536D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47712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</w:rPr>
        <w:t>zmierzających do zminimalizowania ryzyka wystąpienia nowotworu, czy też wczesnego wdrożenia dedykowanej terapii. </w:t>
      </w:r>
    </w:p>
    <w:p w14:paraId="046CA86E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57863424" w14:textId="0BD2F09E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Wykrycie predyspozycji genetycznych do rozwoju choroby nowotworowej nie jest jednoznaczne z jej wystąpieniem w przyszłości. Wynik badania DNA może wskazać, o które obszary zdrowia warto zadbać profilaktycznie, uwzględniając przy tym jednak indywidualne potrzeby danego organizmu. Ważne jest też unikanie czynników ryzyka, prowadzenie zdrowego stylu życia i regularne wykonywanie badań profilaktycznych. Skala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zachorowań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na choroby nowotworowe wciąż jest bardzo wysoka. W Polsce na każde 100 tys. osób, u 440 wykrywa się nowotwór. Umieralność z powodu tego schorzenia stanowi 25% wszystkich zgonów</w:t>
      </w:r>
      <w:r w:rsidRPr="0052536D">
        <w:rPr>
          <w:rStyle w:val="Odwoanieprzypisudolnego"/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footnoteReference w:id="2"/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. – </w:t>
      </w:r>
      <w:r w:rsidRPr="00447712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t>W skali globalnej aż 229 mln osób choruje na nowotwory dziedziczne. W Polsce wskaźnik zachorowalności nie odbiega od średniej dla większości krajów, za to już wskaźnik umieralności, z wielu względów, przewyższa międzynarodową średnią. Choroby nowotworowe w naszym kraju stanowią obecnie drugą najczęstszą przyczynę zgonów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– komentuje dr hab. Mirosław Kwaśniewski, biotechnolog i genetyk molekularny, współzałożyciel IMAGENE.ME.</w:t>
      </w:r>
    </w:p>
    <w:p w14:paraId="528B1B0D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3D99909F" w14:textId="77777777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</w:rPr>
        <w:t>Rola profilaktyki i diagnostyki</w:t>
      </w:r>
    </w:p>
    <w:p w14:paraId="474E07DE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17909CE7" w14:textId="77777777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O podwyższonym ryzyku zachorowania na nowotwór uwarunkowany genetycznie można dowiedzieć się po wykonaniu kompleksowego badania WES (ang.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Whole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Exome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Sequencing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– badanie całego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eksomu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) analizującego wszystkie geny kodujące białka związane z szerokim spektrum chorób i zespołów nowotworowych. Występujące w nim chorobotwórcze lub prawdopodobnie chorobotwórcze</w:t>
      </w:r>
      <w:r w:rsidRPr="00447712">
        <w:rPr>
          <w:rFonts w:ascii="Open Sans" w:eastAsia="Times New Roman" w:hAnsi="Open Sans" w:cs="Open Sans"/>
          <w:color w:val="000000"/>
        </w:rPr>
        <w:t xml:space="preserve">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warianty genetyczne zostały wytypowane na podstawie ustaleń międzynarodowych grup ekspertów z dziedziny genetyki i onkologii.</w:t>
      </w:r>
    </w:p>
    <w:p w14:paraId="21E007D0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2A986B63" w14:textId="77777777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Badanie diagnostyczne tego typu szczególnie zalecane jest osobom, które zachorowały na nowotwór oraz tym, w których rodzinie występuje historia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zachorowań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na nowotwory.</w:t>
      </w:r>
      <w:r w:rsidRPr="0052536D">
        <w:rPr>
          <w:rFonts w:ascii="Open Sans" w:eastAsia="Times New Roman" w:hAnsi="Open Sans" w:cs="Open Sans"/>
          <w:color w:val="000000"/>
        </w:rPr>
        <w:t xml:space="preserve">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Wynik pozwala</w:t>
      </w:r>
      <w:r w:rsidRPr="00447712">
        <w:rPr>
          <w:rFonts w:ascii="Open Sans" w:eastAsia="Times New Roman" w:hAnsi="Open Sans" w:cs="Open Sans"/>
          <w:color w:val="000000"/>
        </w:rPr>
        <w:t xml:space="preserve">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zidentyfikować</w:t>
      </w:r>
      <w:r w:rsidRPr="00447712">
        <w:rPr>
          <w:rFonts w:ascii="Open Sans" w:eastAsia="Times New Roman" w:hAnsi="Open Sans" w:cs="Open Sans"/>
          <w:color w:val="000000"/>
        </w:rPr>
        <w:t xml:space="preserve">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genetyczne</w:t>
      </w:r>
      <w:r w:rsidRPr="00447712">
        <w:rPr>
          <w:rFonts w:ascii="Open Sans" w:eastAsia="Times New Roman" w:hAnsi="Open Sans" w:cs="Open Sans"/>
          <w:color w:val="000000"/>
        </w:rPr>
        <w:t xml:space="preserve">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podłoże</w:t>
      </w:r>
      <w:r w:rsidRPr="00447712">
        <w:rPr>
          <w:rFonts w:ascii="Open Sans" w:eastAsia="Times New Roman" w:hAnsi="Open Sans" w:cs="Open Sans"/>
          <w:color w:val="000000"/>
        </w:rPr>
        <w:t xml:space="preserve">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choroby nowotworowej. Stanowi to wówczas cenną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lastRenderedPageBreak/>
        <w:t xml:space="preserve">informację dla najbliższych krewnych, którzy będą mogli po skonsultowaniu się z lekarzem genetykiem klinicznym, wykonać celowane badanie genetyczne i w zależności od wyniku, podjąć indywidualne decyzje dotyczące profilaktyki i opieki zdrowotnej. Jak tłumaczy dr Karolina Chwiałkowska, biotechnolog i genetyk molekularny w IMAGENE.ME – </w:t>
      </w:r>
      <w:r w:rsidRPr="00447712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t>Diagnostyczne badanie genetyczne daje możliwość oceny ryzyka genetycznego. Właśnie dlatego jest szczególnie zalecane w przypadku, gdy w bliskiej rodzinie wystąpiła choroba onkologiczna. Należy jednak pamiętać, że obecność wariantu patogennego nie jest jednoznaczna z rozwojem schorzenia, a określa jedynie predyspozycje do jego wystąpienia, d</w:t>
      </w:r>
      <w:r w:rsidRPr="00447712">
        <w:rPr>
          <w:rFonts w:ascii="Open Sans" w:eastAsia="Times New Roman" w:hAnsi="Open Sans" w:cs="Open Sans"/>
          <w:i/>
          <w:iCs/>
          <w:color w:val="000000"/>
        </w:rPr>
        <w:t>l</w:t>
      </w:r>
      <w:r w:rsidRPr="00447712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t>atego takiego badania nie należy się bać. Osoby zdrowe, po wykonaniu badania, otrzymują możliwość zaplanowania działań prozdrowotnych, dzięki czemu mogą realnie zmniejszyć szanse wystąpienia nowotworów. Z kolei u osób chorych, znajomość czynnika genetycznego i mechanizmu rozwoju nowotworu może pomóc w doborze skuteczniejszej terapii, potencjalnie zwiększając szanse na wyleczenie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.</w:t>
      </w:r>
      <w:r w:rsidRPr="0052536D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14:paraId="345C90FA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5E32A2C1" w14:textId="0667422D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–</w:t>
      </w:r>
      <w:r w:rsidRPr="0052536D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Pr="0052536D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t>Warto</w:t>
      </w:r>
      <w:r w:rsidRPr="00447712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t xml:space="preserve"> pamiętać, że każdy pacjent, u którego badanie jest wykonywane w celu identyfikacji zespołu dziedzicznego zwiększonego ryzyka zachorowania na chorobę nowotworową, musi otrzymać poradę genetyczną, zarówno przed badaniem, jak i przy odbiorze wyniku,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podkreśla prof. dr hab. n. med. Małgorzata Krajewska-Walasek, genetyk kliniczny w IMAGENE.ME.</w:t>
      </w:r>
    </w:p>
    <w:p w14:paraId="579AC172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66FC0B80" w14:textId="77777777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Predyspozycje do wystąpienia chorób nowotworowych może też wskazać badanie genetyczne WES przeprowadzone w celach profilaktycznych. Jego wynik pozwoli poznać wrodzone predyspozycje i podjąć realne działania prewencyjne. Ma to tym większe znaczenie, że onkologiczne choroby dziedziczne cechują się występowaniem w dużo młodszym wieku, nawet przed 35. rokiem życia.</w:t>
      </w:r>
    </w:p>
    <w:p w14:paraId="6E522C93" w14:textId="77777777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52536D">
        <w:rPr>
          <w:rFonts w:ascii="Open Sans" w:eastAsia="Times New Roman" w:hAnsi="Open Sans" w:cs="Open Sans"/>
          <w:color w:val="000000"/>
        </w:rPr>
        <w:t xml:space="preserve"> </w:t>
      </w:r>
    </w:p>
    <w:p w14:paraId="61850600" w14:textId="77777777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Przykłady dziedzicznych chorób nowotworowych i ich profilaktyka</w:t>
      </w:r>
    </w:p>
    <w:p w14:paraId="47441EEB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1B62ECF3" w14:textId="5E487290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Jednym z nowotworów uwarunkowanych genetycznie jest rak piersi, który stanowi około 23% wszystkich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zachorowań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onkologicznych u kobiet</w:t>
      </w:r>
      <w:r w:rsidRPr="0052536D">
        <w:rPr>
          <w:rStyle w:val="Odwoanieprzypisudolnego"/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footnoteReference w:id="3"/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. W grupie podwyższonego ryzyka znajdują się przede wszystkim kobiety, u których w rodzinie występowały przypadki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zachorowań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na nowotwór złośliwy piersi i (lub) jajnika. W przypadku wykrycia patogennych wariantów w genach </w:t>
      </w:r>
      <w:r w:rsidRPr="00447712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t>BRCA1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i </w:t>
      </w:r>
      <w:r w:rsidRPr="00447712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t>BRCA2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, najskuteczniejszym, choć bardzo inwazyjnym zabiegiem zapobiegającym rozwojowi raka, jest mastektomia oraz usunięcie przydatków (jajników z jajowodami). Należy pamiętać, że wykrycie raka jajnika we wczesnym stadium na podstawie badań przesiewowych możliwe jest zaledwie w ok. 20-30% przypadków</w:t>
      </w:r>
      <w:r w:rsidRPr="0052536D">
        <w:rPr>
          <w:rStyle w:val="Odwoanieprzypisudolnego"/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footnoteReference w:id="4"/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.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Osoba posiadająca patogenny wariant, a nie decydująca się na zabieg chirurgiczny, powinna szczególnie zadbać o wykonywanie regularnych badań kontrolnych.</w:t>
      </w:r>
      <w:r w:rsidRPr="0052536D">
        <w:rPr>
          <w:rFonts w:ascii="Open Sans" w:eastAsia="Times New Roman" w:hAnsi="Open Sans" w:cs="Open Sans"/>
          <w:color w:val="000000"/>
        </w:rPr>
        <w:t xml:space="preserve"> </w:t>
      </w:r>
    </w:p>
    <w:p w14:paraId="3D28D602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62A6D940" w14:textId="77777777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Innym przykładem choroby nowotworowej wynikającej z wrodzonych predyspozycji rodzinnych jest rak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rdzeniasty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tarczycy. Nowotwór ten najczęściej ujawnia się w późnym wieku i ma wysoki wskaźnik zachorowalności. – </w:t>
      </w:r>
      <w:r w:rsidRPr="00447712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t xml:space="preserve">Rozwój raka tarczycy związany jest z obecnością patogennych wariantów w genie RET. Aż u 90% nosicieli takich wariantów dochodzi do rozwoju choroby. Członkowie rodziny </w:t>
      </w:r>
      <w:r w:rsidRPr="00447712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lastRenderedPageBreak/>
        <w:t>również mogą być nosicielami zmiany.</w:t>
      </w:r>
      <w:r w:rsidRPr="00447712">
        <w:rPr>
          <w:rFonts w:ascii="Open Sans" w:eastAsia="Times New Roman" w:hAnsi="Open Sans" w:cs="Open Sans"/>
          <w:color w:val="000000"/>
        </w:rPr>
        <w:t xml:space="preserve"> </w:t>
      </w:r>
      <w:r w:rsidRPr="00447712">
        <w:rPr>
          <w:rFonts w:ascii="Open Sans" w:eastAsia="Times New Roman" w:hAnsi="Open Sans" w:cs="Open Sans"/>
          <w:i/>
          <w:iCs/>
          <w:color w:val="000000"/>
          <w:sz w:val="20"/>
          <w:szCs w:val="20"/>
          <w:shd w:val="clear" w:color="auto" w:fill="FFFFFF"/>
        </w:rPr>
        <w:t xml:space="preserve">Wykonanie przez nich badań diagnostycznych jest szczególnie ważne ze względu na konieczność podjęcia inwazyjnych działań profilaktycznych. Środkiem zapobiegawczym jest wycięcie gruczołu tarczycy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– dodaje prof. Małgorzata Krajewska-Walasek.</w:t>
      </w:r>
    </w:p>
    <w:p w14:paraId="35E953E0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53439A3B" w14:textId="77777777" w:rsidR="0052536D" w:rsidRPr="00447712" w:rsidRDefault="0052536D" w:rsidP="0052536D">
      <w:pPr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Dziedziczne formy raka mogą dotyczyć również nowotworów układu pokarmowego, w tym jelita grubego. Choroba ta może rozwijać się latami, nie dając istotnych, z punktu widzenia pacjenta, sygnałów chorobowych. Sprawia to, że nawet u 25% osób diagnoza stawiana jest dopiero w zaawansowanym stadium choroby. Profilaktyka tego nowotworu polega przede wszystkim na regularnych badaniach (m.in. </w:t>
      </w:r>
      <w:proofErr w:type="spellStart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kolonoskopii</w:t>
      </w:r>
      <w:proofErr w:type="spellEnd"/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, ocenie obecności krwi i śluzu w stolcu), zmianie stylu życia (odpowiednia dieta, aktywność fizyczna, unikanie używek), a leczenie na częściowym lub radykalnym usunięciu jelita.</w:t>
      </w:r>
    </w:p>
    <w:p w14:paraId="6380ABD0" w14:textId="77777777" w:rsidR="0052536D" w:rsidRPr="00447712" w:rsidRDefault="0052536D" w:rsidP="0052536D">
      <w:pPr>
        <w:spacing w:line="276" w:lineRule="auto"/>
        <w:rPr>
          <w:rFonts w:ascii="Open Sans" w:eastAsia="Times New Roman" w:hAnsi="Open Sans" w:cs="Open Sans"/>
        </w:rPr>
      </w:pPr>
    </w:p>
    <w:p w14:paraId="5A4C375B" w14:textId="77777777" w:rsidR="0052536D" w:rsidRPr="0052536D" w:rsidRDefault="0052536D" w:rsidP="0052536D">
      <w:pPr>
        <w:shd w:val="clear" w:color="auto" w:fill="FFFFFF"/>
        <w:spacing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Badania genetyczne odgrywają kluczową rolę w profilaktyce i diagnostyce chorób nowotworowych. Nie tylko umożliwiają analizę genetycznych predyspozycji organizmu do rozwoju nowotworów, ale także stanowią cenną informację dla całej rodziny osoby badanej. W wielu przypadkach podjęcie działań profilaktycznych ukierunkowanych na konkretne schorzenie nie jest możliwe bez przeprowadzenia badania genetycznego.</w:t>
      </w:r>
      <w:r w:rsidRPr="0052536D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Identyfikacja osób z dziedzicznie uwarunkowanym ryzykiem zachorowania na chorobę nowotworową,</w:t>
      </w:r>
      <w:r w:rsidRPr="0052536D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Pr="0044771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stanowi pierwszy etap podejścia do medycyny spersonalizowanej w onkologii, ukierunkowanej na optymalizację i indywidualizację leczenia w przypadku rozwoju nowotworu.</w:t>
      </w:r>
    </w:p>
    <w:p w14:paraId="38F4945F" w14:textId="77777777" w:rsidR="0052536D" w:rsidRPr="00447712" w:rsidRDefault="0052536D" w:rsidP="0052536D">
      <w:pPr>
        <w:shd w:val="clear" w:color="auto" w:fill="FFFFFF"/>
        <w:spacing w:line="276" w:lineRule="auto"/>
        <w:jc w:val="both"/>
        <w:rPr>
          <w:rFonts w:ascii="Open Sans" w:eastAsia="Times New Roman" w:hAnsi="Open Sans" w:cs="Open Sans"/>
        </w:rPr>
      </w:pPr>
    </w:p>
    <w:p w14:paraId="19ECD316" w14:textId="77777777" w:rsidR="0052536D" w:rsidRPr="00447712" w:rsidRDefault="0052536D" w:rsidP="0052536D">
      <w:pPr>
        <w:shd w:val="clear" w:color="auto" w:fill="FFFFFF"/>
        <w:spacing w:line="276" w:lineRule="auto"/>
        <w:jc w:val="both"/>
        <w:rPr>
          <w:rFonts w:ascii="Open Sans" w:eastAsia="Times New Roman" w:hAnsi="Open Sans" w:cs="Open Sans"/>
        </w:rPr>
      </w:pPr>
      <w:r w:rsidRPr="00447712">
        <w:rPr>
          <w:rFonts w:ascii="Open Sans" w:eastAsia="Times New Roman" w:hAnsi="Open Sans" w:cs="Open Sans"/>
          <w:color w:val="000000"/>
          <w:sz w:val="18"/>
          <w:szCs w:val="18"/>
          <w:shd w:val="clear" w:color="auto" w:fill="FFFFFF"/>
        </w:rPr>
        <w:t xml:space="preserve">IMAGENE.ME to działająca od 2018 roku polska firma biotechnologiczna, zajmująca się zaawansowanymi badaniami genetycznymi: diagnostycznymi, profilaktycznymi i przesiewowymi. Firma oferuje również rozwiązania technologiczne w zakresie genomiki personalnej. Tworzy ją zespół profesjonalistów z dziedziny biotechnologii, </w:t>
      </w:r>
      <w:proofErr w:type="spellStart"/>
      <w:r w:rsidRPr="00447712">
        <w:rPr>
          <w:rFonts w:ascii="Open Sans" w:eastAsia="Times New Roman" w:hAnsi="Open Sans" w:cs="Open Sans"/>
          <w:color w:val="000000"/>
          <w:sz w:val="18"/>
          <w:szCs w:val="18"/>
          <w:shd w:val="clear" w:color="auto" w:fill="FFFFFF"/>
        </w:rPr>
        <w:t>bioinformatyki</w:t>
      </w:r>
      <w:proofErr w:type="spellEnd"/>
      <w:r w:rsidRPr="00447712">
        <w:rPr>
          <w:rFonts w:ascii="Open Sans" w:eastAsia="Times New Roman" w:hAnsi="Open Sans" w:cs="Open Sans"/>
          <w:color w:val="000000"/>
          <w:sz w:val="18"/>
          <w:szCs w:val="18"/>
          <w:shd w:val="clear" w:color="auto" w:fill="FFFFFF"/>
        </w:rPr>
        <w:t>, medycyny, genetyki i obszaru IT. Firma stworzyła aplikację mobilną, która zapewnia każdemu klientowi dostęp do wyników zrealizowanego badania genetycznego, konsultacji medycznych ze specjalistami oraz dodatkowych usług medycznych.</w:t>
      </w:r>
    </w:p>
    <w:p w14:paraId="39CDDF43" w14:textId="77777777" w:rsidR="003A65A7" w:rsidRPr="0052536D" w:rsidRDefault="003A65A7" w:rsidP="005F5CA9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</w:p>
    <w:p w14:paraId="041F8367" w14:textId="77777777" w:rsidR="0052536D" w:rsidRPr="0052536D" w:rsidRDefault="0052536D" w:rsidP="005F5CA9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F570B35" w14:textId="6086DC0D" w:rsidR="00413E4B" w:rsidRPr="00EC5A57" w:rsidRDefault="00413E4B" w:rsidP="005F5CA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C5A57">
        <w:rPr>
          <w:rFonts w:ascii="Open Sans" w:hAnsi="Open Sans" w:cs="Open Sans"/>
          <w:sz w:val="20"/>
          <w:szCs w:val="20"/>
        </w:rPr>
        <w:t xml:space="preserve">Kontakt do mediów: </w:t>
      </w:r>
    </w:p>
    <w:p w14:paraId="052637DF" w14:textId="77777777" w:rsidR="00C06936" w:rsidRPr="00EC5A57" w:rsidRDefault="00C06936" w:rsidP="005F5CA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3EE0413" w14:textId="77777777" w:rsidR="00C06936" w:rsidRPr="00EC5A57" w:rsidRDefault="00C06936" w:rsidP="005F5CA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C5A57">
        <w:rPr>
          <w:rFonts w:ascii="Open Sans" w:hAnsi="Open Sans" w:cs="Open Sans"/>
          <w:sz w:val="20"/>
          <w:szCs w:val="20"/>
        </w:rPr>
        <w:t>Aleksandra Sykulska</w:t>
      </w:r>
    </w:p>
    <w:p w14:paraId="1E8AEA32" w14:textId="133E2D9A" w:rsidR="00C06936" w:rsidRPr="00EC5A57" w:rsidRDefault="00C06936" w:rsidP="005F5CA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C5A57">
        <w:rPr>
          <w:rFonts w:ascii="Open Sans" w:hAnsi="Open Sans" w:cs="Open Sans"/>
          <w:sz w:val="20"/>
          <w:szCs w:val="20"/>
        </w:rPr>
        <w:t>Tel: +48 796 996 376</w:t>
      </w:r>
    </w:p>
    <w:p w14:paraId="232CDA8D" w14:textId="2F979E9B" w:rsidR="00413E4B" w:rsidRPr="00EC5A57" w:rsidRDefault="00C06936" w:rsidP="005F5CA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C5A57">
        <w:rPr>
          <w:rFonts w:ascii="Open Sans" w:hAnsi="Open Sans" w:cs="Open Sans"/>
          <w:sz w:val="20"/>
          <w:szCs w:val="20"/>
        </w:rPr>
        <w:t xml:space="preserve">E-mail: </w:t>
      </w:r>
      <w:hyperlink r:id="rId8" w:history="1">
        <w:r w:rsidRPr="00EC5A57">
          <w:rPr>
            <w:rStyle w:val="Hipercze"/>
            <w:rFonts w:ascii="Open Sans" w:hAnsi="Open Sans" w:cs="Open Sans"/>
            <w:sz w:val="20"/>
            <w:szCs w:val="20"/>
          </w:rPr>
          <w:t>aleksandra.sykulska@goodonepr.pl</w:t>
        </w:r>
      </w:hyperlink>
    </w:p>
    <w:p w14:paraId="1E695CA7" w14:textId="77777777" w:rsidR="00C06936" w:rsidRPr="00EC5A57" w:rsidRDefault="00C06936" w:rsidP="005F5CA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24E13CF" w14:textId="77777777" w:rsidR="00C06936" w:rsidRPr="00EC5A57" w:rsidRDefault="00C06936" w:rsidP="005F5CA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C5A57">
        <w:rPr>
          <w:rFonts w:ascii="Open Sans" w:hAnsi="Open Sans" w:cs="Open Sans"/>
          <w:sz w:val="20"/>
          <w:szCs w:val="20"/>
        </w:rPr>
        <w:t>Ewelina Jaskuła</w:t>
      </w:r>
    </w:p>
    <w:p w14:paraId="42C68421" w14:textId="77777777" w:rsidR="00C06936" w:rsidRPr="00EC5A57" w:rsidRDefault="00C06936" w:rsidP="005F5CA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C5A57">
        <w:rPr>
          <w:rFonts w:ascii="Open Sans" w:hAnsi="Open Sans" w:cs="Open Sans"/>
          <w:sz w:val="20"/>
          <w:szCs w:val="20"/>
        </w:rPr>
        <w:t>Tel: +48 665 339 877</w:t>
      </w:r>
    </w:p>
    <w:p w14:paraId="001F0945" w14:textId="05E56DBA" w:rsidR="00C06936" w:rsidRPr="00EC5A57" w:rsidRDefault="00C06936" w:rsidP="005F5CA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C5A57">
        <w:rPr>
          <w:rFonts w:ascii="Open Sans" w:hAnsi="Open Sans" w:cs="Open Sans"/>
          <w:sz w:val="20"/>
          <w:szCs w:val="20"/>
        </w:rPr>
        <w:t xml:space="preserve">E-mail: </w:t>
      </w:r>
      <w:hyperlink r:id="rId9" w:history="1">
        <w:r w:rsidRPr="00EC5A57">
          <w:rPr>
            <w:rStyle w:val="Hipercze"/>
            <w:rFonts w:ascii="Open Sans" w:hAnsi="Open Sans" w:cs="Open Sans"/>
            <w:sz w:val="20"/>
            <w:szCs w:val="20"/>
          </w:rPr>
          <w:t>ewelina.jaskula@goodonepr.pl</w:t>
        </w:r>
      </w:hyperlink>
      <w:r w:rsidRPr="00EC5A57">
        <w:rPr>
          <w:rFonts w:ascii="Open Sans" w:hAnsi="Open Sans" w:cs="Open Sans"/>
          <w:sz w:val="20"/>
          <w:szCs w:val="20"/>
        </w:rPr>
        <w:t xml:space="preserve"> </w:t>
      </w:r>
    </w:p>
    <w:sectPr w:rsidR="00C06936" w:rsidRPr="00EC5A57" w:rsidSect="00767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727E" w14:textId="77777777" w:rsidR="000904AD" w:rsidRDefault="000904AD">
      <w:r>
        <w:separator/>
      </w:r>
    </w:p>
  </w:endnote>
  <w:endnote w:type="continuationSeparator" w:id="0">
    <w:p w14:paraId="06EAF836" w14:textId="77777777" w:rsidR="000904AD" w:rsidRDefault="0009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B448B1" w:rsidRDefault="00B44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B448B1" w:rsidRDefault="00B44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B448B1" w:rsidRDefault="00B44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58F0" w14:textId="77777777" w:rsidR="000904AD" w:rsidRDefault="000904AD">
      <w:r>
        <w:separator/>
      </w:r>
    </w:p>
  </w:footnote>
  <w:footnote w:type="continuationSeparator" w:id="0">
    <w:p w14:paraId="2B8E6AEB" w14:textId="77777777" w:rsidR="000904AD" w:rsidRDefault="000904AD">
      <w:r>
        <w:continuationSeparator/>
      </w:r>
    </w:p>
  </w:footnote>
  <w:footnote w:id="1">
    <w:p w14:paraId="511A44E4" w14:textId="2028DFA2" w:rsidR="0052536D" w:rsidRPr="0052536D" w:rsidRDefault="0052536D">
      <w:pPr>
        <w:pStyle w:val="Tekstprzypisudolnego"/>
        <w:rPr>
          <w:rFonts w:ascii="Open Sans" w:hAnsi="Open Sans" w:cs="Open Sans"/>
          <w:sz w:val="18"/>
          <w:szCs w:val="18"/>
        </w:rPr>
      </w:pPr>
      <w:r w:rsidRPr="0052536D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52536D">
        <w:rPr>
          <w:rFonts w:ascii="Open Sans" w:hAnsi="Open Sans" w:cs="Open Sans"/>
          <w:sz w:val="18"/>
          <w:szCs w:val="18"/>
        </w:rPr>
        <w:t xml:space="preserve"> </w:t>
      </w:r>
      <w:hyperlink r:id="rId1" w:history="1">
        <w:r w:rsidRPr="00FC16F7">
          <w:rPr>
            <w:rStyle w:val="Hipercze"/>
            <w:rFonts w:ascii="Open Sans" w:hAnsi="Open Sans" w:cs="Open Sans"/>
            <w:sz w:val="18"/>
            <w:szCs w:val="18"/>
          </w:rPr>
          <w:t>https://www.nature.com/collections/acjcdgabcb</w:t>
        </w:r>
      </w:hyperlink>
      <w:r>
        <w:rPr>
          <w:rFonts w:ascii="Open Sans" w:hAnsi="Open Sans" w:cs="Open Sans"/>
          <w:sz w:val="18"/>
          <w:szCs w:val="18"/>
        </w:rPr>
        <w:t xml:space="preserve"> </w:t>
      </w:r>
    </w:p>
  </w:footnote>
  <w:footnote w:id="2">
    <w:p w14:paraId="3665A0C3" w14:textId="2C8641E8" w:rsidR="0052536D" w:rsidRPr="0052536D" w:rsidRDefault="0052536D" w:rsidP="0052536D">
      <w:pPr>
        <w:spacing w:line="276" w:lineRule="auto"/>
        <w:rPr>
          <w:rFonts w:ascii="Times New Roman" w:eastAsia="Times New Roman" w:hAnsi="Times New Roman" w:cs="Times New Roman"/>
        </w:rPr>
      </w:pPr>
      <w:r w:rsidRPr="0052536D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52536D">
        <w:rPr>
          <w:rFonts w:ascii="Open Sans" w:hAnsi="Open Sans" w:cs="Open Sans"/>
          <w:sz w:val="18"/>
          <w:szCs w:val="18"/>
        </w:rPr>
        <w:t xml:space="preserve"> </w:t>
      </w:r>
      <w:hyperlink r:id="rId2" w:history="1">
        <w:r w:rsidRPr="00FC16F7">
          <w:rPr>
            <w:rStyle w:val="Hipercze"/>
            <w:rFonts w:ascii="Open Sans" w:hAnsi="Open Sans" w:cs="Open Sans"/>
            <w:sz w:val="18"/>
            <w:szCs w:val="18"/>
          </w:rPr>
          <w:t>https://onkologia.org.pl/pl/epidemiologia/nowotwory-zlosliwe-w-polsce</w:t>
        </w:r>
      </w:hyperlink>
      <w:r>
        <w:rPr>
          <w:rFonts w:ascii="Open Sans" w:hAnsi="Open Sans" w:cs="Open Sans"/>
          <w:sz w:val="18"/>
          <w:szCs w:val="18"/>
        </w:rPr>
        <w:t xml:space="preserve"> </w:t>
      </w:r>
    </w:p>
  </w:footnote>
  <w:footnote w:id="3">
    <w:p w14:paraId="75303A8F" w14:textId="6ED3A441" w:rsidR="0052536D" w:rsidRPr="0049517C" w:rsidRDefault="0052536D">
      <w:pPr>
        <w:pStyle w:val="Tekstprzypisudolnego"/>
        <w:rPr>
          <w:rFonts w:ascii="Open Sans" w:hAnsi="Open Sans" w:cs="Open Sans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49517C">
          <w:rPr>
            <w:rStyle w:val="Hipercze"/>
            <w:rFonts w:ascii="Open Sans" w:hAnsi="Open Sans" w:cs="Open Sans"/>
            <w:sz w:val="18"/>
            <w:szCs w:val="18"/>
          </w:rPr>
          <w:t>https://onkologia.org.pl/pl/nowotwor-piersi-u-kobiet-czym-jest</w:t>
        </w:r>
      </w:hyperlink>
      <w:r w:rsidRPr="0049517C">
        <w:rPr>
          <w:rFonts w:ascii="Open Sans" w:hAnsi="Open Sans" w:cs="Open Sans"/>
          <w:sz w:val="18"/>
          <w:szCs w:val="18"/>
        </w:rPr>
        <w:t xml:space="preserve"> </w:t>
      </w:r>
    </w:p>
  </w:footnote>
  <w:footnote w:id="4">
    <w:p w14:paraId="1C5FF7A0" w14:textId="6F046C71" w:rsidR="0052536D" w:rsidRDefault="0052536D">
      <w:pPr>
        <w:pStyle w:val="Tekstprzypisudolnego"/>
      </w:pPr>
      <w:r w:rsidRPr="0049517C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49517C">
        <w:rPr>
          <w:rFonts w:ascii="Open Sans" w:hAnsi="Open Sans" w:cs="Open Sans"/>
          <w:sz w:val="18"/>
          <w:szCs w:val="18"/>
        </w:rPr>
        <w:t xml:space="preserve"> </w:t>
      </w:r>
      <w:hyperlink r:id="rId4" w:history="1">
        <w:r w:rsidRPr="0049517C">
          <w:rPr>
            <w:rStyle w:val="Hipercze"/>
            <w:rFonts w:ascii="Open Sans" w:hAnsi="Open Sans" w:cs="Open Sans"/>
            <w:sz w:val="18"/>
            <w:szCs w:val="18"/>
          </w:rPr>
          <w:t>https://journals.viamedica.pl/onkologia_w_praktyce_klin_edu/article/download/44770/30926</w:t>
        </w:r>
      </w:hyperlink>
      <w:r w:rsidRPr="0052536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B44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83DC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20pt;height:877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B44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51D8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107.3pt;margin-top:-125.6pt;width:620pt;height:877pt;z-index:-251659776;mso-position-horizontal-relative:margin;mso-position-vertical-relative:margin">
          <v:imagedata r:id="rId1" o:title="image1"/>
          <w10:wrap anchorx="margin" anchory="margin"/>
        </v:shape>
      </w:pict>
    </w:r>
  </w:p>
  <w:p w14:paraId="66B0C836" w14:textId="77777777" w:rsidR="0076717F" w:rsidRDefault="00767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5DC9A23" w14:textId="4AC3A8F4" w:rsidR="0076717F" w:rsidRDefault="0076717F" w:rsidP="0076717F">
    <w:pPr>
      <w:pBdr>
        <w:top w:val="nil"/>
        <w:left w:val="nil"/>
        <w:bottom w:val="nil"/>
        <w:right w:val="nil"/>
        <w:between w:val="nil"/>
      </w:pBdr>
      <w:tabs>
        <w:tab w:val="left" w:pos="1164"/>
      </w:tabs>
      <w:rPr>
        <w:color w:val="000000"/>
      </w:rPr>
    </w:pPr>
  </w:p>
  <w:p w14:paraId="624D8BAA" w14:textId="77777777" w:rsidR="0076717F" w:rsidRDefault="00767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B44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0DBF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20pt;height:87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B1"/>
    <w:rsid w:val="000904AD"/>
    <w:rsid w:val="000D695B"/>
    <w:rsid w:val="00271FFB"/>
    <w:rsid w:val="002B050A"/>
    <w:rsid w:val="003A65A7"/>
    <w:rsid w:val="003E51CC"/>
    <w:rsid w:val="00413E4B"/>
    <w:rsid w:val="0042154E"/>
    <w:rsid w:val="00485269"/>
    <w:rsid w:val="0049517C"/>
    <w:rsid w:val="004B16B9"/>
    <w:rsid w:val="004B3BBD"/>
    <w:rsid w:val="0052536D"/>
    <w:rsid w:val="005E2E74"/>
    <w:rsid w:val="005F5CA9"/>
    <w:rsid w:val="00623D01"/>
    <w:rsid w:val="00640422"/>
    <w:rsid w:val="00717900"/>
    <w:rsid w:val="0076717F"/>
    <w:rsid w:val="00795936"/>
    <w:rsid w:val="00863C05"/>
    <w:rsid w:val="00905DEE"/>
    <w:rsid w:val="00915092"/>
    <w:rsid w:val="0094709D"/>
    <w:rsid w:val="00A07B83"/>
    <w:rsid w:val="00B448B1"/>
    <w:rsid w:val="00B5044E"/>
    <w:rsid w:val="00C06936"/>
    <w:rsid w:val="00C2139F"/>
    <w:rsid w:val="00C25AA6"/>
    <w:rsid w:val="00D82973"/>
    <w:rsid w:val="00DB6D3B"/>
    <w:rsid w:val="00E23F02"/>
    <w:rsid w:val="00E85BFD"/>
    <w:rsid w:val="00EC5A57"/>
    <w:rsid w:val="00F11796"/>
    <w:rsid w:val="00F25D95"/>
    <w:rsid w:val="00F670DB"/>
    <w:rsid w:val="00FA167C"/>
    <w:rsid w:val="00FB4AD4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36FFA"/>
  <w15:docId w15:val="{09A539A3-DB26-4C18-888B-34C3609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C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113"/>
  </w:style>
  <w:style w:type="paragraph" w:styleId="Stopka">
    <w:name w:val="footer"/>
    <w:basedOn w:val="Normalny"/>
    <w:link w:val="StopkaZnak"/>
    <w:uiPriority w:val="99"/>
    <w:unhideWhenUsed/>
    <w:rsid w:val="005C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11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67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6717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9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ykulska@goodone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jaskula@goodonepr.pl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nkologia.org.pl/pl/nowotwor-piersi-u-kobiet-czym-jest" TargetMode="External"/><Relationship Id="rId2" Type="http://schemas.openxmlformats.org/officeDocument/2006/relationships/hyperlink" Target="https://onkologia.org.pl/pl/epidemiologia/nowotwory-zlosliwe-w-polsce" TargetMode="External"/><Relationship Id="rId1" Type="http://schemas.openxmlformats.org/officeDocument/2006/relationships/hyperlink" Target="https://www.nature.com/collections/acjcdgabcb" TargetMode="External"/><Relationship Id="rId4" Type="http://schemas.openxmlformats.org/officeDocument/2006/relationships/hyperlink" Target="https://journals.viamedica.pl/onkologia_w_praktyce_klin_edu/article/download/44770/309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jg5224XGNpNu/Ri0wmJ99baGdg==">CgMxLjA4AHIhMS1Ral9qMFV6TUo2VUlFS2ZxUlRkM2cwYVVHOUZKVEho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E6BB1E-5833-4382-AF03-C9000D01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Sykulska</dc:creator>
  <cp:lastModifiedBy>Ola</cp:lastModifiedBy>
  <cp:revision>5</cp:revision>
  <dcterms:created xsi:type="dcterms:W3CDTF">2023-11-15T15:55:00Z</dcterms:created>
  <dcterms:modified xsi:type="dcterms:W3CDTF">2023-11-15T16:00:00Z</dcterms:modified>
</cp:coreProperties>
</file>